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6E784D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</w:t>
      </w:r>
      <w:r w:rsidR="00021113">
        <w:rPr>
          <w:rFonts w:eastAsia="Calibri"/>
          <w:b/>
          <w:color w:val="000000"/>
          <w:sz w:val="24"/>
          <w:szCs w:val="24"/>
        </w:rPr>
        <w:t>6</w:t>
      </w:r>
      <w:r w:rsidR="006A54DC"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F6510E" w:rsidRPr="00BA7EE5" w:rsidRDefault="005571E2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2F7B42">
        <w:rPr>
          <w:rFonts w:eastAsia="Calibri"/>
          <w:sz w:val="24"/>
          <w:szCs w:val="24"/>
          <w:lang w:eastAsia="ar-SA"/>
        </w:rPr>
        <w:t>2018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r. w 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Pozezdrzu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pomiędzy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Gminą </w:t>
      </w:r>
      <w:r w:rsidR="00EE69D2">
        <w:rPr>
          <w:rFonts w:eastAsia="Calibri"/>
          <w:sz w:val="24"/>
          <w:szCs w:val="24"/>
          <w:lang w:eastAsia="ar-SA"/>
        </w:rPr>
        <w:t>Pozezdrze ul. 1 M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aja 1A, 11-610 Pozezdrze NIP 8451982831, REGON </w:t>
      </w:r>
      <w:r w:rsidR="00186E61">
        <w:rPr>
          <w:sz w:val="24"/>
          <w:szCs w:val="24"/>
        </w:rPr>
        <w:t>79</w:t>
      </w:r>
      <w:r w:rsidR="00887271">
        <w:rPr>
          <w:sz w:val="24"/>
          <w:szCs w:val="24"/>
        </w:rPr>
        <w:t>0671283</w:t>
      </w:r>
      <w:r w:rsidR="00887271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reprezentowaną przez:</w:t>
      </w:r>
    </w:p>
    <w:p w:rsidR="00F6510E" w:rsidRPr="00BA7EE5" w:rsidRDefault="00BA7EE5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751B30">
        <w:rPr>
          <w:rFonts w:eastAsia="Calibri"/>
          <w:b/>
          <w:sz w:val="24"/>
          <w:szCs w:val="24"/>
          <w:lang w:eastAsia="ar-SA"/>
        </w:rPr>
        <w:t>Bohdana Mohyłę</w:t>
      </w:r>
      <w:r w:rsidRPr="00BA7EE5">
        <w:rPr>
          <w:rFonts w:eastAsia="Calibri"/>
          <w:sz w:val="24"/>
          <w:szCs w:val="24"/>
          <w:lang w:eastAsia="ar-SA"/>
        </w:rPr>
        <w:t xml:space="preserve"> -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Wójta Gminy </w:t>
      </w:r>
      <w:r w:rsidRPr="00BA7EE5">
        <w:rPr>
          <w:rFonts w:eastAsia="Calibri"/>
          <w:sz w:val="24"/>
          <w:szCs w:val="24"/>
          <w:lang w:eastAsia="ar-SA"/>
        </w:rPr>
        <w:t>Pozezdrze</w:t>
      </w:r>
    </w:p>
    <w:p w:rsidR="00BA7EE5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przy kontrasygnacie </w:t>
      </w:r>
    </w:p>
    <w:p w:rsidR="00F6510E" w:rsidRPr="00BA7EE5" w:rsidRDefault="00BA7EE5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751B30">
        <w:rPr>
          <w:rFonts w:eastAsia="Calibri"/>
          <w:b/>
          <w:sz w:val="24"/>
          <w:szCs w:val="24"/>
          <w:lang w:eastAsia="ar-SA"/>
        </w:rPr>
        <w:t>Barbary Król</w:t>
      </w:r>
      <w:r w:rsidRPr="00BA7EE5">
        <w:rPr>
          <w:rFonts w:eastAsia="Calibri"/>
          <w:sz w:val="24"/>
          <w:szCs w:val="24"/>
          <w:lang w:eastAsia="ar-SA"/>
        </w:rPr>
        <w:t xml:space="preserve"> - </w:t>
      </w:r>
      <w:r>
        <w:rPr>
          <w:rFonts w:eastAsia="Calibri"/>
          <w:sz w:val="24"/>
          <w:szCs w:val="24"/>
          <w:lang w:eastAsia="ar-SA"/>
        </w:rPr>
        <w:t xml:space="preserve">Skarbnika Gminy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</w:t>
      </w:r>
      <w:r w:rsidR="00EE69D2">
        <w:rPr>
          <w:rFonts w:eastAsia="Calibri"/>
          <w:sz w:val="24"/>
          <w:szCs w:val="24"/>
          <w:lang w:eastAsia="ar-SA"/>
        </w:rPr>
        <w:t>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021113" w:rsidRPr="00BA7EE5" w:rsidRDefault="00021113" w:rsidP="00021113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W wyniku udzielenia zamówienia publicznego w oparciu o ustawę z dnia 29 stycznia 2004 r. Prawo zamówień publicznych (t.j. Dz. U. z 2017 r. poz. 1579 z późn. zm.) </w:t>
      </w:r>
      <w:r w:rsidRPr="00BA7EE5">
        <w:rPr>
          <w:rFonts w:eastAsia="Calibri"/>
          <w:sz w:val="24"/>
          <w:szCs w:val="24"/>
          <w:lang w:eastAsia="ar-SA"/>
        </w:rPr>
        <w:t xml:space="preserve">została zawarta umowa następującej treści: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Przedmiotem niniejszej umowy jest wykonanie</w:t>
      </w:r>
      <w:r w:rsidR="005536EE">
        <w:rPr>
          <w:rFonts w:eastAsia="Calibri"/>
          <w:sz w:val="24"/>
          <w:szCs w:val="24"/>
        </w:rPr>
        <w:t xml:space="preserve"> robót budowlanych pn.</w:t>
      </w:r>
      <w:r w:rsidR="00BA7EE5" w:rsidRPr="00BA7EE5">
        <w:rPr>
          <w:rFonts w:eastAsia="Calibri"/>
          <w:sz w:val="24"/>
          <w:szCs w:val="24"/>
        </w:rPr>
        <w:t xml:space="preserve">: </w:t>
      </w:r>
      <w:r w:rsidR="00C31CAE" w:rsidRPr="00D544DE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C31CAE" w:rsidRPr="00D544DE">
        <w:rPr>
          <w:rFonts w:eastAsia="Calibri"/>
          <w:b/>
          <w:i/>
          <w:color w:val="000000"/>
          <w:sz w:val="24"/>
          <w:szCs w:val="24"/>
          <w:lang w:eastAsia="en-US"/>
        </w:rPr>
        <w:t>Adaptacja budynku gospodarczego na cele biurowo – socjalne działka N</w:t>
      </w:r>
      <w:r w:rsidR="0081463E" w:rsidRPr="00D544DE">
        <w:rPr>
          <w:rFonts w:eastAsia="Calibri"/>
          <w:b/>
          <w:i/>
          <w:color w:val="000000"/>
          <w:sz w:val="24"/>
          <w:szCs w:val="24"/>
          <w:lang w:eastAsia="en-US"/>
        </w:rPr>
        <w:t>r 275/24 i 275/25 w</w:t>
      </w:r>
      <w:r w:rsidR="0081463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Pozezdrzu.”</w:t>
      </w:r>
      <w:r w:rsidR="00C31CA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</w:t>
      </w:r>
      <w:r w:rsidRPr="00BA7EE5">
        <w:rPr>
          <w:rFonts w:eastAsia="Calibri"/>
          <w:sz w:val="24"/>
          <w:szCs w:val="24"/>
        </w:rPr>
        <w:t>zgodnie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Pr="00BA7EE5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SIWZ w tym w dokume</w:t>
      </w:r>
      <w:r w:rsidR="00D544DE">
        <w:rPr>
          <w:rFonts w:eastAsia="Calibri"/>
          <w:sz w:val="24"/>
          <w:szCs w:val="24"/>
        </w:rPr>
        <w:t xml:space="preserve">ntacji projektowej oraz w </w:t>
      </w:r>
      <w:r w:rsidR="00BA7EE5" w:rsidRPr="00BA7EE5">
        <w:rPr>
          <w:rFonts w:eastAsia="Calibri"/>
          <w:sz w:val="24"/>
          <w:szCs w:val="24"/>
        </w:rPr>
        <w:t>specyfikacji technicznej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021113">
      <w:pPr>
        <w:pStyle w:val="Akapitzlist"/>
        <w:numPr>
          <w:ilvl w:val="0"/>
          <w:numId w:val="36"/>
        </w:numPr>
        <w:ind w:left="426" w:hanging="426"/>
        <w:rPr>
          <w:b/>
        </w:rPr>
      </w:pPr>
      <w:r>
        <w:t>Wykonawca wykona przedmiot zamówienia w terminie</w:t>
      </w:r>
      <w:r w:rsidR="001F2F47">
        <w:t xml:space="preserve"> do </w:t>
      </w:r>
      <w:r w:rsidR="00021113">
        <w:rPr>
          <w:b/>
        </w:rPr>
        <w:t>31</w:t>
      </w:r>
      <w:r w:rsidR="001F2F47" w:rsidRPr="001F2F47">
        <w:rPr>
          <w:b/>
        </w:rPr>
        <w:t xml:space="preserve"> </w:t>
      </w:r>
      <w:r w:rsidR="00021113">
        <w:rPr>
          <w:b/>
        </w:rPr>
        <w:t xml:space="preserve">października </w:t>
      </w:r>
      <w:r w:rsidR="001F2F47" w:rsidRPr="001F2F47">
        <w:rPr>
          <w:b/>
        </w:rPr>
        <w:t>2018 r.</w:t>
      </w:r>
    </w:p>
    <w:p w:rsidR="00021113" w:rsidRPr="00E20502" w:rsidRDefault="00021113" w:rsidP="00021113">
      <w:pPr>
        <w:pStyle w:val="Akapitzlist"/>
        <w:numPr>
          <w:ilvl w:val="0"/>
          <w:numId w:val="36"/>
        </w:numPr>
        <w:ind w:left="426" w:hanging="426"/>
      </w:pPr>
      <w:r w:rsidRPr="00E20502">
        <w:t xml:space="preserve">Za datę zakończenia robót przyjmuje się datę pisemnego zgłoszenia Zamawiającemu gotowości do odbioru wykonanych robót budowlanych, potwierdzonego przez inspektora nadzoru inwestorskiego. 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CF507D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 xml:space="preserve">terminie  do </w:t>
      </w:r>
      <w:r w:rsidR="00021113">
        <w:rPr>
          <w:rFonts w:eastAsia="Calibri"/>
          <w:sz w:val="24"/>
          <w:szCs w:val="24"/>
        </w:rPr>
        <w:t>14</w:t>
      </w:r>
      <w:r w:rsidR="004C70AD">
        <w:rPr>
          <w:rFonts w:eastAsia="Calibri"/>
          <w:sz w:val="24"/>
          <w:szCs w:val="24"/>
        </w:rPr>
        <w:t xml:space="preserve">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O dokonaniu zmiany Zamawiający powiadomi na piśmie Wykonawcę w terminie 3 dni roboczych od dnia dokonania zmiany.</w:t>
      </w:r>
    </w:p>
    <w:p w:rsidR="00D544DE" w:rsidRDefault="00D544DE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Zamawiający nie ponosi odpowiedzialności za mienie Wykonawcy zgromadzone na terenie wykonywanych robót.</w:t>
      </w: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1649F9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>r. poz. 1332</w:t>
      </w:r>
      <w:r w:rsidRPr="00C45370">
        <w:rPr>
          <w:rFonts w:eastAsia="Calibri"/>
          <w:sz w:val="24"/>
          <w:szCs w:val="24"/>
        </w:rPr>
        <w:t xml:space="preserve"> z</w:t>
      </w:r>
      <w:r w:rsidR="001649F9">
        <w:rPr>
          <w:rFonts w:eastAsia="Calibri"/>
          <w:sz w:val="24"/>
          <w:szCs w:val="24"/>
        </w:rPr>
        <w:t>e</w:t>
      </w:r>
      <w:r w:rsidRPr="00C45370">
        <w:rPr>
          <w:rFonts w:eastAsia="Calibri"/>
          <w:sz w:val="24"/>
          <w:szCs w:val="24"/>
        </w:rPr>
        <w:t xml:space="preserve">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649F9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649F9">
        <w:rPr>
          <w:rFonts w:eastAsia="Calibri"/>
          <w:sz w:val="24"/>
          <w:szCs w:val="24"/>
        </w:rPr>
        <w:t xml:space="preserve">21),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C45370" w:rsidRDefault="0028517E" w:rsidP="00E04D5B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E726A4">
        <w:rPr>
          <w:rFonts w:eastAsia="Calibri"/>
          <w:b/>
          <w:sz w:val="24"/>
          <w:szCs w:val="24"/>
        </w:rPr>
        <w:t>1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E726A4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 xml:space="preserve"> zobowiązany jest do prowadzenia dziennika budowy.</w:t>
      </w:r>
    </w:p>
    <w:p w:rsidR="006A54DC" w:rsidRDefault="00E726A4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 xml:space="preserve">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4C6DAE" w:rsidRDefault="004C6DAE" w:rsidP="004C6DA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87CFB">
        <w:rPr>
          <w:rFonts w:eastAsia="ArialMT"/>
          <w:color w:val="000000"/>
          <w:sz w:val="24"/>
          <w:szCs w:val="24"/>
        </w:rPr>
        <w:t xml:space="preserve">Kierownik </w:t>
      </w:r>
      <w:r>
        <w:rPr>
          <w:rFonts w:eastAsia="ArialMT"/>
          <w:color w:val="000000"/>
          <w:sz w:val="24"/>
          <w:szCs w:val="24"/>
        </w:rPr>
        <w:t>budowy</w:t>
      </w:r>
      <w:r w:rsidRPr="00587CFB">
        <w:rPr>
          <w:rFonts w:eastAsia="ArialMT"/>
          <w:color w:val="000000"/>
          <w:sz w:val="24"/>
          <w:szCs w:val="24"/>
        </w:rPr>
        <w:t xml:space="preserve"> będzie pełnił funkcję koordynatora ds. bezpieczeństwa i higieny pracy, zgodnie z art. 208 ustawy z dnia 26 czerwca 1974 r. Kodeks pracy.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E726A4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751B30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Zamawiającego, następujące osoby :</w:t>
      </w:r>
    </w:p>
    <w:p w:rsidR="00751B30" w:rsidRDefault="00751B3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 w:rsidRPr="00751B30">
        <w:rPr>
          <w:rFonts w:eastAsia="ArialMT"/>
          <w:color w:val="000000"/>
        </w:rPr>
        <w:t>Maria Oryńczak</w:t>
      </w:r>
      <w:r w:rsidRPr="00751B30">
        <w:rPr>
          <w:rFonts w:eastAsia="Arial-BoldMT"/>
          <w:bCs/>
          <w:color w:val="000000"/>
        </w:rPr>
        <w:t xml:space="preserve"> </w:t>
      </w:r>
      <w:r w:rsidRPr="00751B30">
        <w:rPr>
          <w:rFonts w:eastAsia="ArialMT"/>
          <w:color w:val="000000"/>
        </w:rPr>
        <w:t xml:space="preserve">– Kierownik Referatu </w:t>
      </w:r>
      <w:r>
        <w:rPr>
          <w:rFonts w:eastAsia="ArialMT"/>
          <w:color w:val="000000"/>
        </w:rPr>
        <w:t>Rozwoju Gminy i Przedsięwzięć Publicznych</w:t>
      </w:r>
      <w:r w:rsidR="00791580">
        <w:rPr>
          <w:rFonts w:eastAsia="ArialMT"/>
          <w:color w:val="000000"/>
        </w:rPr>
        <w:t>,</w:t>
      </w:r>
    </w:p>
    <w:p w:rsidR="00791580" w:rsidRDefault="00E726A4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Wojciech Kopczyński</w:t>
      </w:r>
      <w:r w:rsidR="00791580">
        <w:rPr>
          <w:rFonts w:eastAsia="ArialMT"/>
          <w:color w:val="000000"/>
        </w:rPr>
        <w:t xml:space="preserve"> – Inspektor ds. </w:t>
      </w:r>
      <w:r>
        <w:rPr>
          <w:rFonts w:eastAsia="ArialMT"/>
          <w:color w:val="000000"/>
        </w:rPr>
        <w:t>gospodarki mieniem gminnym</w:t>
      </w:r>
      <w:r w:rsidR="00791580">
        <w:rPr>
          <w:rFonts w:eastAsia="ArialMT"/>
          <w:color w:val="000000"/>
        </w:rPr>
        <w:t>,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791580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C6DAE" w:rsidRPr="00173387" w:rsidRDefault="004C6DAE" w:rsidP="004C6DA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 xml:space="preserve">Ustala się, że </w:t>
      </w:r>
      <w:r w:rsidRPr="00173387">
        <w:rPr>
          <w:rFonts w:eastAsia="ArialMT"/>
          <w:color w:val="000000"/>
          <w:sz w:val="24"/>
          <w:szCs w:val="24"/>
        </w:rPr>
        <w:t>rozliczenie płatności  będzie się odbywało:</w:t>
      </w:r>
    </w:p>
    <w:p w:rsidR="004C6DAE" w:rsidRPr="00D62CF7" w:rsidRDefault="004C6DAE" w:rsidP="004C6DAE">
      <w:pPr>
        <w:numPr>
          <w:ilvl w:val="2"/>
          <w:numId w:val="37"/>
        </w:numPr>
        <w:tabs>
          <w:tab w:val="clear" w:pos="1093"/>
          <w:tab w:val="num" w:pos="567"/>
        </w:tabs>
        <w:autoSpaceDE w:val="0"/>
        <w:ind w:left="567" w:hanging="283"/>
        <w:jc w:val="both"/>
        <w:rPr>
          <w:rFonts w:eastAsia="ArialMT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>Fakturą VAT wystawioną raz na miesiąc</w:t>
      </w:r>
      <w:r w:rsidRPr="00D62CF7">
        <w:rPr>
          <w:rFonts w:eastAsia="ArialMT"/>
          <w:color w:val="000000"/>
          <w:sz w:val="24"/>
          <w:szCs w:val="24"/>
        </w:rPr>
        <w:t xml:space="preserve">, po potwierdzeniu faktycznego wykonania robót na podstawie protokołu częściowego odbioru robót w toku, z tym, że wynagrodzenie Wykonawcy rozliczane łącznie fakturami przejściowymi nie może przekroczyć </w:t>
      </w:r>
      <w:r>
        <w:rPr>
          <w:rFonts w:eastAsia="ArialMT"/>
          <w:b/>
          <w:color w:val="000000"/>
          <w:sz w:val="24"/>
          <w:szCs w:val="24"/>
        </w:rPr>
        <w:t>80</w:t>
      </w:r>
      <w:r w:rsidRPr="00D62CF7">
        <w:rPr>
          <w:rFonts w:eastAsia="ArialMT"/>
          <w:b/>
          <w:color w:val="000000"/>
          <w:sz w:val="24"/>
          <w:szCs w:val="24"/>
        </w:rPr>
        <w:t>%</w:t>
      </w:r>
      <w:r w:rsidRPr="00D62CF7">
        <w:rPr>
          <w:rFonts w:eastAsia="ArialMT"/>
          <w:color w:val="000000"/>
          <w:sz w:val="24"/>
          <w:szCs w:val="24"/>
        </w:rPr>
        <w:t xml:space="preserve"> wynagrodzenia umownego,</w:t>
      </w:r>
    </w:p>
    <w:p w:rsidR="004C6DAE" w:rsidRPr="00D62CF7" w:rsidRDefault="004C6DAE" w:rsidP="004C6DAE">
      <w:pPr>
        <w:numPr>
          <w:ilvl w:val="2"/>
          <w:numId w:val="37"/>
        </w:numPr>
        <w:tabs>
          <w:tab w:val="clear" w:pos="1093"/>
          <w:tab w:val="num" w:pos="567"/>
        </w:tabs>
        <w:autoSpaceDE w:val="0"/>
        <w:ind w:left="567" w:hanging="283"/>
        <w:jc w:val="both"/>
        <w:rPr>
          <w:rFonts w:eastAsia="ArialMT"/>
          <w:sz w:val="24"/>
          <w:szCs w:val="24"/>
        </w:rPr>
      </w:pPr>
      <w:r w:rsidRPr="00D62CF7">
        <w:rPr>
          <w:rFonts w:eastAsia="ArialMT"/>
          <w:color w:val="000000"/>
          <w:sz w:val="24"/>
          <w:szCs w:val="24"/>
        </w:rPr>
        <w:t>Fakturą końcową VAT po odbiorze końcowym przedmiotu umowy, na podstawie protokołu końcowego odbioru robót podpisanego przez obie strony.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615880">
        <w:rPr>
          <w:rFonts w:eastAsia="Calibri"/>
          <w:sz w:val="24"/>
          <w:szCs w:val="24"/>
        </w:rPr>
        <w:t>boty nastąpi w oparciu o fakturę końcową wystawioną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przez członków komisji powołanej przez Zamawiającego do odbioru robót (Komisja odbiorowa).</w:t>
      </w:r>
    </w:p>
    <w:p w:rsidR="006A54DC" w:rsidRPr="00F030F2" w:rsidRDefault="00615880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</w:t>
      </w:r>
      <w:r w:rsidR="006A54DC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odb</w:t>
      </w:r>
      <w:r>
        <w:rPr>
          <w:rFonts w:eastAsia="Calibri"/>
          <w:sz w:val="24"/>
          <w:szCs w:val="24"/>
        </w:rPr>
        <w:t>iór końcowego robót sporządzony będzie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</w:t>
      </w:r>
      <w:r>
        <w:rPr>
          <w:rFonts w:eastAsia="Calibri"/>
          <w:sz w:val="24"/>
          <w:szCs w:val="24"/>
        </w:rPr>
        <w:t>a budowy,</w:t>
      </w:r>
      <w:r w:rsidR="006A54DC" w:rsidRPr="00F030F2">
        <w:rPr>
          <w:rFonts w:eastAsia="Calibri"/>
          <w:sz w:val="24"/>
          <w:szCs w:val="24"/>
        </w:rPr>
        <w:t xml:space="preserve">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</w:r>
      <w:r w:rsidRPr="00F030F2">
        <w:rPr>
          <w:rFonts w:eastAsia="Calibri"/>
          <w:sz w:val="24"/>
          <w:szCs w:val="24"/>
        </w:rPr>
        <w:lastRenderedPageBreak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4C6DAE" w:rsidRDefault="004C6DAE" w:rsidP="004C6DAE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4C6DAE" w:rsidRDefault="004C6DAE" w:rsidP="004C6DAE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odbiór częściowy,</w:t>
      </w:r>
    </w:p>
    <w:p w:rsidR="004C6DAE" w:rsidRPr="00777E39" w:rsidRDefault="004C6DAE" w:rsidP="004C6DAE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4C6DAE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4C6DAE" w:rsidRPr="0061496E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61496E">
        <w:rPr>
          <w:rFonts w:eastAsia="ArialMT"/>
          <w:color w:val="000000"/>
          <w:sz w:val="24"/>
          <w:szCs w:val="24"/>
        </w:rPr>
        <w:t>Strony ustalają, że odbiory robót w toku będą dokonywane zgodnie z zatwierdzonym przez obie strony harmonogramem rzeczowo finansowym.</w:t>
      </w:r>
    </w:p>
    <w:p w:rsidR="004C6DAE" w:rsidRPr="0061496E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61496E">
        <w:rPr>
          <w:rFonts w:eastAsia="ArialMT"/>
          <w:color w:val="000000"/>
          <w:sz w:val="24"/>
          <w:szCs w:val="24"/>
        </w:rPr>
        <w:t>Harmonogram rzeczowo – finansowy podlegać będzie aktualizacji przez Wykonawcę na podstawie uzasadnionego wniosku zaakceptowanego przez Zamawiającego.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</w:t>
      </w:r>
      <w:r>
        <w:rPr>
          <w:rFonts w:eastAsia="Calibri"/>
          <w:sz w:val="24"/>
          <w:szCs w:val="24"/>
        </w:rPr>
        <w:t xml:space="preserve"> częściowego,</w:t>
      </w:r>
      <w:r w:rsidRPr="00777E39">
        <w:rPr>
          <w:rFonts w:eastAsia="Calibri"/>
          <w:sz w:val="24"/>
          <w:szCs w:val="24"/>
        </w:rPr>
        <w:t xml:space="preserve"> końcowego, będzie faktycznie wykonanie robót, potwierdzenie w dzienniku budowy wpisem dokonanym przez kierownika budowy potwierdzonym przez Inspektora nadzoru inwestorskiego.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4C6DAE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Dokumenty (atesty, certyfikaty) potwierdzające, że wbudowane wyroby budowlane są zgodne z art. 10 ustawy Prawo budowlane (opisane </w:t>
      </w:r>
      <w:r>
        <w:rPr>
          <w:rFonts w:eastAsia="Calibri"/>
          <w:sz w:val="24"/>
          <w:szCs w:val="24"/>
        </w:rPr>
        <w:t xml:space="preserve">i </w:t>
      </w:r>
      <w:r w:rsidRPr="00777E39">
        <w:rPr>
          <w:rFonts w:eastAsia="Calibri"/>
          <w:sz w:val="24"/>
          <w:szCs w:val="24"/>
        </w:rPr>
        <w:t>ostemplowane przez Kierownika budowy/robót).</w:t>
      </w:r>
    </w:p>
    <w:p w:rsidR="004C6DAE" w:rsidRPr="0061496E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D</w:t>
      </w:r>
      <w:r w:rsidRPr="0061496E">
        <w:rPr>
          <w:sz w:val="24"/>
          <w:szCs w:val="24"/>
        </w:rPr>
        <w:t xml:space="preserve">okumentację powykonawczą z naniesionymi zmianami dokonanymi w toku realizacji  robót. 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>
        <w:rPr>
          <w:rFonts w:eastAsia="Calibri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od daty zawiadomienia go i osiągnięciu gotowości do odbioru robót.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Zamawiający zobowiązany jest do dokonania odbioru końcowego, w terminie </w:t>
      </w:r>
      <w:r>
        <w:rPr>
          <w:rFonts w:eastAsia="Calibri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4C6DAE" w:rsidRPr="00777E39" w:rsidRDefault="004C6DAE" w:rsidP="004C6DAE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4C6DAE" w:rsidRPr="00777E39" w:rsidRDefault="004C6DAE" w:rsidP="004C6DAE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4C6DAE" w:rsidRPr="00777E39" w:rsidRDefault="004C6DAE" w:rsidP="004C6DAE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4C6DAE" w:rsidRPr="00777E39" w:rsidRDefault="004C6DAE" w:rsidP="004C6DAE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>
        <w:rPr>
          <w:rFonts w:eastAsia="Calibri"/>
          <w:sz w:val="24"/>
          <w:szCs w:val="24"/>
        </w:rPr>
        <w:t xml:space="preserve">owym oraz </w:t>
      </w:r>
      <w:r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7F29E4" w:rsidRPr="004D3EA7" w:rsidRDefault="007F29E4" w:rsidP="007F29E4">
      <w:pPr>
        <w:pStyle w:val="Akapitzlist"/>
        <w:numPr>
          <w:ilvl w:val="1"/>
          <w:numId w:val="16"/>
        </w:numPr>
        <w:ind w:left="709" w:hanging="283"/>
      </w:pPr>
      <w:r w:rsidRPr="00E65EFB">
        <w:t>za zwłokę w oddaniu określonego harmonogramem rzeczowo – finansowym zakresu robót budowlanych będących w toku, Zamawiający naliczy wykonawcy karę umowną w wysokości 0,01% wynagrodzenia brutto, określonego w § 5 ust. 1 za każdy dzień zwłoki, Zamawiający może odstąpić od naliczenia kary w przypadku zwłoki nieprzekraczającej 10 dni.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lastRenderedPageBreak/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03259A">
        <w:rPr>
          <w:rFonts w:eastAsia="Calibri"/>
          <w:sz w:val="24"/>
          <w:szCs w:val="24"/>
        </w:rPr>
        <w:t>zych Podwykonawcom w wysokości 3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 tytułu nieprzedłużenia do zaakceptowania projektu umowy </w:t>
      </w:r>
      <w:r w:rsidRPr="00C0320F">
        <w:rPr>
          <w:rFonts w:eastAsia="Calibri"/>
          <w:sz w:val="24"/>
          <w:szCs w:val="24"/>
        </w:rPr>
        <w:br/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03259A">
        <w:rPr>
          <w:rFonts w:eastAsia="Calibri"/>
          <w:sz w:val="24"/>
          <w:szCs w:val="24"/>
        </w:rPr>
        <w:t>3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03259A">
        <w:rPr>
          <w:rFonts w:eastAsia="Calibri"/>
          <w:sz w:val="24"/>
          <w:szCs w:val="24"/>
        </w:rPr>
        <w:t>3</w:t>
      </w:r>
      <w:r w:rsidR="004D3EA7">
        <w:rPr>
          <w:rFonts w:eastAsia="Calibri"/>
          <w:sz w:val="24"/>
          <w:szCs w:val="24"/>
        </w:rPr>
        <w:t>0</w:t>
      </w:r>
      <w:r w:rsidR="00E726A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03259A">
        <w:rPr>
          <w:rFonts w:eastAsia="Calibri"/>
          <w:sz w:val="24"/>
          <w:szCs w:val="24"/>
        </w:rPr>
        <w:t>3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03259A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03259A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</w:t>
      </w:r>
      <w:r w:rsidR="00615880">
        <w:rPr>
          <w:rFonts w:eastAsia="Calibri"/>
          <w:sz w:val="24"/>
          <w:szCs w:val="24"/>
        </w:rPr>
        <w:t xml:space="preserve">łaty wynagrodzenia Podwykonawcy </w:t>
      </w:r>
      <w:r w:rsidRPr="002571D6">
        <w:rPr>
          <w:rFonts w:eastAsia="Calibri"/>
          <w:sz w:val="24"/>
          <w:szCs w:val="24"/>
        </w:rPr>
        <w:t>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ust. 11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ust. 11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Wykonawca, Podwykonawca lub dalszy Podwykonawca zamówienia ma obowiązek przedłożenia Zamawiającemu poświadczoną za zgodność z oryginałem kopię zawartej </w:t>
      </w:r>
      <w:r w:rsidRPr="002571D6">
        <w:rPr>
          <w:rFonts w:eastAsia="Calibri"/>
          <w:sz w:val="24"/>
          <w:szCs w:val="24"/>
        </w:rPr>
        <w:lastRenderedPageBreak/>
        <w:t>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B44454" w:rsidRPr="002571D6">
        <w:rPr>
          <w:rFonts w:eastAsia="Calibri"/>
          <w:sz w:val="24"/>
          <w:szCs w:val="24"/>
        </w:rPr>
        <w:t>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790FF7">
        <w:rPr>
          <w:rFonts w:eastAsia="Calibri"/>
          <w:b/>
          <w:sz w:val="24"/>
          <w:szCs w:val="24"/>
        </w:rPr>
        <w:t>3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03259A">
        <w:rPr>
          <w:rFonts w:eastAsia="Calibri"/>
          <w:b/>
          <w:sz w:val="24"/>
          <w:szCs w:val="24"/>
        </w:rPr>
        <w:t>3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Pr="008C036B">
        <w:t xml:space="preserve">, z późn.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991E43">
        <w:t>Dz. U. z 2016</w:t>
      </w:r>
      <w:r w:rsidRPr="008C036B">
        <w:t xml:space="preserve"> r. poz. </w:t>
      </w:r>
      <w:r w:rsidR="00991E43">
        <w:t>1666</w:t>
      </w:r>
      <w:r w:rsidRPr="008C036B">
        <w:t xml:space="preserve"> z późn.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lastRenderedPageBreak/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C823EC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657B0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right" w:pos="426"/>
          <w:tab w:val="num" w:pos="567"/>
        </w:tabs>
        <w:ind w:left="567" w:hanging="283"/>
        <w:rPr>
          <w:b/>
        </w:rPr>
      </w:pPr>
      <w:r w:rsidRPr="00E657B0">
        <w:t xml:space="preserve">poświadczoną za zgodność z oryginałem </w:t>
      </w:r>
      <w:r w:rsidR="00CC5DD5">
        <w:t xml:space="preserve">odpowiednio przez Wykonawcę </w:t>
      </w:r>
      <w:r w:rsidR="00E657B0">
        <w:t xml:space="preserve">lub </w:t>
      </w:r>
      <w:r w:rsidRPr="00E657B0">
        <w:t>podwykonawcę kopię umowy/umów o pracę osób wykonujących w trakcie realizacji zamówienia czynności, których dotyczy wyżej wymienione oświadczen</w:t>
      </w:r>
      <w:r w:rsidR="001804AA" w:rsidRPr="00E657B0">
        <w:t>ie Wykonawcy lub podwykonawcy.</w:t>
      </w:r>
      <w:r w:rsidR="005F7849" w:rsidRPr="00E657B0">
        <w:t xml:space="preserve"> </w:t>
      </w:r>
      <w:r w:rsidR="001804AA" w:rsidRPr="00E657B0">
        <w:t>I</w:t>
      </w:r>
      <w:r w:rsidRPr="00E657B0">
        <w:t xml:space="preserve">nformacje </w:t>
      </w:r>
      <w:r w:rsidR="005F7849" w:rsidRPr="00E657B0">
        <w:t>zawierające imię i nazwisko osoby,</w:t>
      </w:r>
      <w:r w:rsidRPr="00E657B0">
        <w:t xml:space="preserve"> data zawarcia umowy, rodzaj umowy o pracę i wymiar etatu</w:t>
      </w:r>
      <w:r w:rsidR="005F7849" w:rsidRPr="00E657B0">
        <w:t>, które świadczyć będą czynności wykonywane na rzecz Zamawiającego.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A74698" w:rsidRPr="00C823EC">
        <w:t>5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A74698" w:rsidRPr="00C823EC">
        <w:t>pięćset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0F6591" w:rsidRPr="00213932" w:rsidRDefault="000F6591" w:rsidP="000F6591">
      <w:pPr>
        <w:pStyle w:val="Tekstpodstawowy"/>
        <w:numPr>
          <w:ilvl w:val="1"/>
          <w:numId w:val="39"/>
        </w:numPr>
        <w:tabs>
          <w:tab w:val="clear" w:pos="567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Zamawiający przewiduje możliwość dokonania zmian postanowień umowy w stosunku do treści oferty na podstawie, której dokonano wyboru wykonawcy w przypadku wystąpienia następujących okoliczności:</w:t>
      </w:r>
    </w:p>
    <w:p w:rsidR="000F6591" w:rsidRDefault="000F6591" w:rsidP="000F6591">
      <w:pPr>
        <w:pStyle w:val="Tekstpodstawowy"/>
        <w:numPr>
          <w:ilvl w:val="2"/>
          <w:numId w:val="38"/>
        </w:numPr>
        <w:tabs>
          <w:tab w:val="clear" w:pos="2160"/>
          <w:tab w:val="clear" w:pos="3119"/>
          <w:tab w:val="center" w:pos="284"/>
        </w:tabs>
        <w:ind w:left="284" w:hanging="142"/>
        <w:rPr>
          <w:b w:val="0"/>
          <w:i w:val="0"/>
        </w:rPr>
      </w:pPr>
      <w:r>
        <w:rPr>
          <w:b w:val="0"/>
          <w:i w:val="0"/>
        </w:rPr>
        <w:t>w zakresie zmiany wynagrodzenia, gdy zmiana ta związana jest ze:</w:t>
      </w:r>
    </w:p>
    <w:p w:rsidR="000F6591" w:rsidRPr="00213932" w:rsidRDefault="000F6591" w:rsidP="000F6591">
      <w:pPr>
        <w:pStyle w:val="Tekstpodstawowy"/>
        <w:tabs>
          <w:tab w:val="clear" w:pos="3119"/>
          <w:tab w:val="center" w:pos="567"/>
        </w:tabs>
        <w:ind w:left="567" w:hanging="283"/>
        <w:rPr>
          <w:b w:val="0"/>
          <w:i w:val="0"/>
        </w:rPr>
      </w:pPr>
      <w:r>
        <w:rPr>
          <w:b w:val="0"/>
          <w:i w:val="0"/>
        </w:rPr>
        <w:t>a) zmniejszeniem zakresu robót przewidzianego umową,</w:t>
      </w:r>
    </w:p>
    <w:p w:rsidR="000F6591" w:rsidRDefault="000F6591" w:rsidP="000F6591">
      <w:pPr>
        <w:pStyle w:val="Tekstpodstawowy"/>
        <w:ind w:left="-23"/>
        <w:rPr>
          <w:b w:val="0"/>
          <w:i w:val="0"/>
        </w:rPr>
      </w:pPr>
      <w:r>
        <w:rPr>
          <w:b w:val="0"/>
          <w:i w:val="0"/>
        </w:rPr>
        <w:tab/>
        <w:t xml:space="preserve"> - jeżeli zmiana ilości robót budowlanych wynika ze zmiany projektu, której nie przewidziano w dniu zawarcia umowy i będzie to niezbędne dla prawidłowej realizacji przedmiotu umowy oraz konieczne do uzyskania efektu końcowego. Do obliczenia wartości zmniejszonego zakresu robót posłuży kosztorys ofertowy i zestawienie elementów scalonych inwestycji. </w:t>
      </w:r>
    </w:p>
    <w:p w:rsidR="000F6591" w:rsidRDefault="000F6591" w:rsidP="000F6591">
      <w:pPr>
        <w:pStyle w:val="Tekstpodstawowy"/>
        <w:ind w:left="361" w:hanging="361"/>
        <w:rPr>
          <w:b w:val="0"/>
          <w:i w:val="0"/>
        </w:rPr>
      </w:pPr>
      <w:r>
        <w:rPr>
          <w:b w:val="0"/>
          <w:i w:val="0"/>
        </w:rPr>
        <w:t>2) w zakresie zmian materiałowych:</w:t>
      </w:r>
    </w:p>
    <w:p w:rsidR="000F6591" w:rsidRDefault="000F6591" w:rsidP="000F6591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a) w przypadku zmian, których nie można było przewidzieć w chwili zawarcia umowy, lub zmiany te są korzystne dla Zamawiającego,</w:t>
      </w:r>
    </w:p>
    <w:p w:rsidR="000F6591" w:rsidRDefault="000F6591" w:rsidP="000F6591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lastRenderedPageBreak/>
        <w:t>b) w przypadku niedostępności na rynku materiałów lub urządzeń wskazanych w ofercie, dokumentacji projektowej, spowodowana zaprzestaniem produkcji lub wycofaniem z rynku tych materiałów lub urządzeń,</w:t>
      </w:r>
    </w:p>
    <w:p w:rsidR="000F6591" w:rsidRDefault="000F6591" w:rsidP="000F6591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c) w przypadku pojawienia się na rynku, materiałów, części lub urządzeń nowszej generacji pozwalających na zmniejszenie kosztów eksploatacji wykonanego przedmiotu umowy,</w:t>
      </w:r>
    </w:p>
    <w:p w:rsidR="000F6591" w:rsidRDefault="000F6591" w:rsidP="000F6591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d) w przypadku konieczności zrealizowania projektu przy zastosowaniu innych rozwiązań technicznych, technologicznych niż wskazane w ofercie, dokumentacji projektowej w sytuacji gdyby zastosowanie przewidzianych rozwiązań groziłoby nie wykonaniem lub wadliwym wykonaniem projektu,</w:t>
      </w:r>
    </w:p>
    <w:p w:rsidR="000F6591" w:rsidRDefault="000F6591" w:rsidP="000F6591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e) w przypadku zmian dokonanych na podstawie art. 23 pkt. 1 ustawy Prawo budowlane dotyczących zmiany w rozwiązaniach projektowych, jeżeli są one uzasadnioną koniecznością zwiększenia bezpieczeństwa realizacji robót budowlanych lub usprawnienia procesu budowy,</w:t>
      </w:r>
    </w:p>
    <w:p w:rsidR="000F6591" w:rsidRDefault="000F6591" w:rsidP="000F6591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f) w przypadku zmian, będącym nieistotnym odstępstwem od zatwierdzonego projektu budowlanego.</w:t>
      </w:r>
    </w:p>
    <w:p w:rsidR="000F6591" w:rsidRDefault="000F6591" w:rsidP="000F6591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3)  w zakresie zmiany personelu nadzorującego budowę, pod warunkiem posiadania przez osobę obejmującą samodzielną funkcję na budowie uprawnień w nie mniejszym zakresie niż osoba wskazana w ofercie;</w:t>
      </w:r>
    </w:p>
    <w:p w:rsidR="000F6591" w:rsidRDefault="000F6591" w:rsidP="000F6591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4)  w zakresie uzasadnionej zmiany harmonogramu rzeczowo-finansowego bez zmiany ostatecznego terminu spełnienia świadczeń w ramach umowy;</w:t>
      </w:r>
    </w:p>
    <w:p w:rsidR="000F6591" w:rsidRDefault="000F6591" w:rsidP="000F6591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5)  w zakresie wydłużenia terminu obowiązywania umowy pod warunkiem, że prace objęte umową zostały wstrzymane przez właściwe organy z przyczyn niezależnych od Wykonawcy lub z powodu okoliczności, które wystąpiły po stronie Zamawiającego.</w:t>
      </w:r>
    </w:p>
    <w:p w:rsidR="000F6591" w:rsidRDefault="000F6591" w:rsidP="000F6591">
      <w:pPr>
        <w:pStyle w:val="Tekstpodstawowy"/>
        <w:ind w:left="284" w:hanging="284"/>
        <w:rPr>
          <w:b w:val="0"/>
          <w:i w:val="0"/>
        </w:rPr>
      </w:pPr>
      <w:r>
        <w:rPr>
          <w:b w:val="0"/>
          <w:i w:val="0"/>
        </w:rPr>
        <w:t>2. Wymienione w ust. 1 postanowienia stanowią katalog zmian, na które Zamawiający dopuszcza wyrażenie zgody. Nie stanowią jednocześnie zobowiązania do wyrażenia takiej zgody przez Zamawiającego.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Pr="00B30C28">
        <w:rPr>
          <w:rFonts w:eastAsia="Calibri"/>
          <w:b/>
          <w:sz w:val="24"/>
          <w:szCs w:val="24"/>
        </w:rPr>
        <w:t>14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</w:t>
      </w:r>
      <w:r w:rsidR="004D6D80">
        <w:rPr>
          <w:rFonts w:eastAsia="Calibri"/>
          <w:sz w:val="24"/>
          <w:szCs w:val="24"/>
        </w:rPr>
        <w:t xml:space="preserve"> </w:t>
      </w:r>
      <w:r w:rsidR="00D365E6">
        <w:rPr>
          <w:rFonts w:eastAsia="Calibri"/>
          <w:sz w:val="24"/>
          <w:szCs w:val="24"/>
        </w:rPr>
        <w:t>1,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Pr="00230E7A">
        <w:rPr>
          <w:rFonts w:eastAsia="Calibri"/>
          <w:b/>
          <w:sz w:val="24"/>
          <w:szCs w:val="24"/>
        </w:rPr>
        <w:t>15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 późn.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 xml:space="preserve">1332                      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230E7A" w:rsidRPr="00230E7A">
        <w:rPr>
          <w:rFonts w:eastAsia="Calibri"/>
          <w:sz w:val="24"/>
          <w:szCs w:val="24"/>
        </w:rPr>
        <w:t xml:space="preserve"> zm.) </w:t>
      </w:r>
      <w:r w:rsidRPr="00230E7A">
        <w:rPr>
          <w:rFonts w:eastAsia="Calibri"/>
          <w:sz w:val="24"/>
          <w:szCs w:val="24"/>
        </w:rPr>
        <w:t>o ile przepisy ustawy Prawa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lastRenderedPageBreak/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E726A4">
        <w:rPr>
          <w:rFonts w:eastAsia="Calibri"/>
          <w:sz w:val="24"/>
          <w:szCs w:val="24"/>
        </w:rPr>
        <w:t xml:space="preserve">, oraz </w:t>
      </w:r>
      <w:r w:rsidR="00230E7A">
        <w:rPr>
          <w:rFonts w:eastAsia="Calibri"/>
          <w:sz w:val="24"/>
          <w:szCs w:val="24"/>
        </w:rPr>
        <w:t>specyfikacja techniczna</w:t>
      </w:r>
      <w:r w:rsidRPr="00230E7A">
        <w:rPr>
          <w:rFonts w:eastAsia="Calibri"/>
          <w:sz w:val="24"/>
          <w:szCs w:val="24"/>
        </w:rPr>
        <w:t xml:space="preserve"> wykonania i odbioru robót</w:t>
      </w:r>
      <w:r w:rsidR="00230E7A">
        <w:rPr>
          <w:rFonts w:eastAsia="Calibri"/>
          <w:sz w:val="24"/>
          <w:szCs w:val="24"/>
        </w:rPr>
        <w:t xml:space="preserve"> budowlanych</w:t>
      </w:r>
      <w:r w:rsidRPr="00230E7A">
        <w:rPr>
          <w:rFonts w:eastAsia="Calibri"/>
          <w:sz w:val="24"/>
          <w:szCs w:val="24"/>
        </w:rPr>
        <w:t>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155CED" w:rsidRDefault="00155CED" w:rsidP="00155CED">
      <w:pPr>
        <w:numPr>
          <w:ilvl w:val="0"/>
          <w:numId w:val="26"/>
        </w:numPr>
        <w:suppressAutoHyphens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Dowód wniesienia/ ustanowienia zabezpieczenia należytego wykonania umowy.</w:t>
      </w:r>
    </w:p>
    <w:p w:rsidR="00790FF7" w:rsidRPr="00230E7A" w:rsidRDefault="00790FF7" w:rsidP="00155CED">
      <w:pPr>
        <w:numPr>
          <w:ilvl w:val="0"/>
          <w:numId w:val="26"/>
        </w:numPr>
        <w:suppressAutoHyphens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Harmonogram rzeczowo – </w:t>
      </w:r>
      <w:r w:rsidR="00CF507D">
        <w:rPr>
          <w:rFonts w:eastAsia="Calibri"/>
          <w:sz w:val="24"/>
          <w:szCs w:val="24"/>
        </w:rPr>
        <w:t>finansowy</w:t>
      </w:r>
      <w:r>
        <w:rPr>
          <w:rFonts w:eastAsia="Calibri"/>
          <w:sz w:val="24"/>
          <w:szCs w:val="24"/>
        </w:rPr>
        <w:t>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Pr="00230E7A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 w:rsidR="001F2F47">
        <w:rPr>
          <w:rFonts w:eastAsia="Calibri"/>
          <w:b/>
          <w:sz w:val="24"/>
          <w:szCs w:val="24"/>
        </w:rPr>
        <w:t xml:space="preserve">                               K</w:t>
      </w:r>
      <w:r>
        <w:rPr>
          <w:rFonts w:eastAsia="Calibri"/>
          <w:b/>
          <w:sz w:val="24"/>
          <w:szCs w:val="24"/>
        </w:rPr>
        <w:t xml:space="preserve">ontrasygnata………………………… </w:t>
      </w: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FA" w:rsidRDefault="00633CFA">
      <w:r>
        <w:separator/>
      </w:r>
    </w:p>
  </w:endnote>
  <w:endnote w:type="continuationSeparator" w:id="0">
    <w:p w:rsidR="00633CFA" w:rsidRDefault="0063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11557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sdt>
        <w:sdtPr>
          <w:id w:val="965032079"/>
          <w:docPartObj>
            <w:docPartGallery w:val="Page Numbers (Bottom of Page)"/>
            <w:docPartUnique/>
          </w:docPartObj>
        </w:sdtPr>
        <w:sdtEndPr/>
        <w:sdtContent>
          <w:p w:rsidR="00791E6B" w:rsidRDefault="00791E6B" w:rsidP="00791E6B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Zamawiający: Gmina Pozezdrze, ul. 1 Maja 1A, 11-610 Pozezdrze tel.: 87 4279006</w:t>
            </w:r>
          </w:p>
          <w:p w:rsidR="00791E6B" w:rsidRPr="00790FF7" w:rsidRDefault="00791E6B" w:rsidP="00791E6B">
            <w:pPr>
              <w:pStyle w:val="Stopka"/>
              <w:jc w:val="center"/>
              <w:rPr>
                <w:sz w:val="16"/>
                <w:szCs w:val="16"/>
                <w:lang w:val="en-US"/>
              </w:rPr>
            </w:pPr>
            <w:r w:rsidRPr="00790FF7">
              <w:rPr>
                <w:sz w:val="16"/>
                <w:szCs w:val="16"/>
                <w:lang w:val="en-US"/>
              </w:rPr>
              <w:t xml:space="preserve">email: </w:t>
            </w:r>
            <w:hyperlink r:id="rId1" w:history="1">
              <w:r w:rsidRPr="00790FF7">
                <w:rPr>
                  <w:rStyle w:val="Hipercze"/>
                  <w:sz w:val="16"/>
                  <w:szCs w:val="16"/>
                  <w:lang w:val="en-US"/>
                </w:rPr>
                <w:t>ug@pozezdrze.pl</w:t>
              </w:r>
            </w:hyperlink>
            <w:r w:rsidRPr="00790FF7">
              <w:rPr>
                <w:sz w:val="16"/>
                <w:szCs w:val="16"/>
                <w:lang w:val="en-US"/>
              </w:rPr>
              <w:t xml:space="preserve">, </w:t>
            </w:r>
            <w:hyperlink r:id="rId2" w:history="1">
              <w:r w:rsidRPr="00790FF7">
                <w:rPr>
                  <w:rStyle w:val="Hipercze"/>
                  <w:sz w:val="16"/>
                  <w:szCs w:val="16"/>
                  <w:lang w:val="en-US"/>
                </w:rPr>
                <w:t>www.bip.pozezdrze.pl</w:t>
              </w:r>
            </w:hyperlink>
          </w:p>
          <w:p w:rsidR="00791E6B" w:rsidRDefault="00633CFA" w:rsidP="00791E6B">
            <w:pPr>
              <w:pStyle w:val="Stopka"/>
              <w:jc w:val="center"/>
              <w:rPr>
                <w:sz w:val="22"/>
                <w:szCs w:val="22"/>
              </w:rPr>
            </w:pPr>
          </w:p>
        </w:sdtContent>
      </w:sdt>
      <w:p w:rsidR="00791E6B" w:rsidRDefault="00791E6B" w:rsidP="00791E6B">
        <w:pPr>
          <w:pStyle w:val="Stopka"/>
        </w:pPr>
      </w:p>
      <w:p w:rsidR="001D1DCD" w:rsidRDefault="00115573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CF50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FA" w:rsidRDefault="00633CFA">
      <w:r>
        <w:separator/>
      </w:r>
    </w:p>
  </w:footnote>
  <w:footnote w:type="continuationSeparator" w:id="0">
    <w:p w:rsidR="00633CFA" w:rsidRDefault="0063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000000E"/>
    <w:multiLevelType w:val="multilevel"/>
    <w:tmpl w:val="DFC4F9F8"/>
    <w:name w:val="WW8Num14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38CC"/>
    <w:multiLevelType w:val="hybridMultilevel"/>
    <w:tmpl w:val="17FE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D1609"/>
    <w:multiLevelType w:val="hybridMultilevel"/>
    <w:tmpl w:val="8DD6C542"/>
    <w:lvl w:ilvl="0" w:tplc="B7A4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EA7FC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196F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0"/>
  </w:num>
  <w:num w:numId="5">
    <w:abstractNumId w:val="31"/>
  </w:num>
  <w:num w:numId="6">
    <w:abstractNumId w:val="8"/>
  </w:num>
  <w:num w:numId="7">
    <w:abstractNumId w:val="4"/>
  </w:num>
  <w:num w:numId="8">
    <w:abstractNumId w:val="37"/>
  </w:num>
  <w:num w:numId="9">
    <w:abstractNumId w:val="35"/>
  </w:num>
  <w:num w:numId="10">
    <w:abstractNumId w:val="28"/>
  </w:num>
  <w:num w:numId="11">
    <w:abstractNumId w:val="33"/>
  </w:num>
  <w:num w:numId="12">
    <w:abstractNumId w:val="19"/>
  </w:num>
  <w:num w:numId="13">
    <w:abstractNumId w:val="36"/>
  </w:num>
  <w:num w:numId="14">
    <w:abstractNumId w:val="6"/>
  </w:num>
  <w:num w:numId="15">
    <w:abstractNumId w:val="13"/>
  </w:num>
  <w:num w:numId="16">
    <w:abstractNumId w:val="29"/>
  </w:num>
  <w:num w:numId="17">
    <w:abstractNumId w:val="21"/>
  </w:num>
  <w:num w:numId="18">
    <w:abstractNumId w:val="30"/>
  </w:num>
  <w:num w:numId="19">
    <w:abstractNumId w:val="26"/>
  </w:num>
  <w:num w:numId="20">
    <w:abstractNumId w:val="24"/>
  </w:num>
  <w:num w:numId="21">
    <w:abstractNumId w:val="27"/>
  </w:num>
  <w:num w:numId="22">
    <w:abstractNumId w:val="10"/>
  </w:num>
  <w:num w:numId="23">
    <w:abstractNumId w:val="22"/>
  </w:num>
  <w:num w:numId="24">
    <w:abstractNumId w:val="12"/>
  </w:num>
  <w:num w:numId="25">
    <w:abstractNumId w:val="5"/>
  </w:num>
  <w:num w:numId="26">
    <w:abstractNumId w:val="14"/>
  </w:num>
  <w:num w:numId="27">
    <w:abstractNumId w:val="9"/>
  </w:num>
  <w:num w:numId="28">
    <w:abstractNumId w:val="25"/>
  </w:num>
  <w:num w:numId="29">
    <w:abstractNumId w:val="34"/>
  </w:num>
  <w:num w:numId="30">
    <w:abstractNumId w:val="15"/>
  </w:num>
  <w:num w:numId="31">
    <w:abstractNumId w:val="18"/>
  </w:num>
  <w:num w:numId="32">
    <w:abstractNumId w:val="11"/>
  </w:num>
  <w:num w:numId="33">
    <w:abstractNumId w:val="37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7"/>
  </w:num>
  <w:num w:numId="37">
    <w:abstractNumId w:val="1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21113"/>
    <w:rsid w:val="0003259A"/>
    <w:rsid w:val="00066706"/>
    <w:rsid w:val="000719E4"/>
    <w:rsid w:val="00074435"/>
    <w:rsid w:val="00084F6B"/>
    <w:rsid w:val="000F6591"/>
    <w:rsid w:val="000F7257"/>
    <w:rsid w:val="0011447F"/>
    <w:rsid w:val="00115573"/>
    <w:rsid w:val="00155CED"/>
    <w:rsid w:val="001649F9"/>
    <w:rsid w:val="00167E14"/>
    <w:rsid w:val="001804AA"/>
    <w:rsid w:val="00186E61"/>
    <w:rsid w:val="00187351"/>
    <w:rsid w:val="00195B5C"/>
    <w:rsid w:val="001A0EE7"/>
    <w:rsid w:val="001D1DCD"/>
    <w:rsid w:val="001F2F47"/>
    <w:rsid w:val="002052CB"/>
    <w:rsid w:val="00230E7A"/>
    <w:rsid w:val="0023176F"/>
    <w:rsid w:val="00237583"/>
    <w:rsid w:val="00247F76"/>
    <w:rsid w:val="002571D6"/>
    <w:rsid w:val="002763BC"/>
    <w:rsid w:val="0028517E"/>
    <w:rsid w:val="002A2D43"/>
    <w:rsid w:val="002B0100"/>
    <w:rsid w:val="002E5C74"/>
    <w:rsid w:val="002F47AC"/>
    <w:rsid w:val="002F5A5D"/>
    <w:rsid w:val="002F7B42"/>
    <w:rsid w:val="003314B0"/>
    <w:rsid w:val="003323BD"/>
    <w:rsid w:val="003532DF"/>
    <w:rsid w:val="00362828"/>
    <w:rsid w:val="003A5727"/>
    <w:rsid w:val="003C7CDB"/>
    <w:rsid w:val="003D6FD8"/>
    <w:rsid w:val="0040428A"/>
    <w:rsid w:val="00435F5B"/>
    <w:rsid w:val="004840FB"/>
    <w:rsid w:val="004A7907"/>
    <w:rsid w:val="004B185E"/>
    <w:rsid w:val="004B6CA8"/>
    <w:rsid w:val="004C6DAE"/>
    <w:rsid w:val="004C70AD"/>
    <w:rsid w:val="004D3EA7"/>
    <w:rsid w:val="004D6D80"/>
    <w:rsid w:val="004D728F"/>
    <w:rsid w:val="004E21FD"/>
    <w:rsid w:val="004E640A"/>
    <w:rsid w:val="004F3FC8"/>
    <w:rsid w:val="00507BDC"/>
    <w:rsid w:val="00521B89"/>
    <w:rsid w:val="00540473"/>
    <w:rsid w:val="0055144D"/>
    <w:rsid w:val="005536EE"/>
    <w:rsid w:val="005571E2"/>
    <w:rsid w:val="00560364"/>
    <w:rsid w:val="00592198"/>
    <w:rsid w:val="005C242B"/>
    <w:rsid w:val="005C2F46"/>
    <w:rsid w:val="005F0CC2"/>
    <w:rsid w:val="005F7849"/>
    <w:rsid w:val="0060784D"/>
    <w:rsid w:val="00614E1D"/>
    <w:rsid w:val="00615880"/>
    <w:rsid w:val="00621B26"/>
    <w:rsid w:val="00621E52"/>
    <w:rsid w:val="00633CFA"/>
    <w:rsid w:val="00643308"/>
    <w:rsid w:val="00676D70"/>
    <w:rsid w:val="006861CE"/>
    <w:rsid w:val="00695B20"/>
    <w:rsid w:val="006A54DC"/>
    <w:rsid w:val="006B3703"/>
    <w:rsid w:val="006E784D"/>
    <w:rsid w:val="00713BD0"/>
    <w:rsid w:val="0072101B"/>
    <w:rsid w:val="00727140"/>
    <w:rsid w:val="00751B30"/>
    <w:rsid w:val="00777E39"/>
    <w:rsid w:val="00790FF7"/>
    <w:rsid w:val="00791580"/>
    <w:rsid w:val="00791E6B"/>
    <w:rsid w:val="007B7129"/>
    <w:rsid w:val="007D4FEB"/>
    <w:rsid w:val="007F29E4"/>
    <w:rsid w:val="00805A54"/>
    <w:rsid w:val="00812528"/>
    <w:rsid w:val="0081463E"/>
    <w:rsid w:val="00840A2B"/>
    <w:rsid w:val="00867C6D"/>
    <w:rsid w:val="00887271"/>
    <w:rsid w:val="008C036B"/>
    <w:rsid w:val="008C7E81"/>
    <w:rsid w:val="00917725"/>
    <w:rsid w:val="009319B4"/>
    <w:rsid w:val="009376D5"/>
    <w:rsid w:val="0094070B"/>
    <w:rsid w:val="00941DF3"/>
    <w:rsid w:val="0094753F"/>
    <w:rsid w:val="009476A2"/>
    <w:rsid w:val="009514C2"/>
    <w:rsid w:val="00953552"/>
    <w:rsid w:val="009668EF"/>
    <w:rsid w:val="00970B9E"/>
    <w:rsid w:val="00973B12"/>
    <w:rsid w:val="00991E43"/>
    <w:rsid w:val="009D43E6"/>
    <w:rsid w:val="00A15BA2"/>
    <w:rsid w:val="00A23E8F"/>
    <w:rsid w:val="00A3493E"/>
    <w:rsid w:val="00A3752E"/>
    <w:rsid w:val="00A43EEE"/>
    <w:rsid w:val="00A54837"/>
    <w:rsid w:val="00A74698"/>
    <w:rsid w:val="00A81744"/>
    <w:rsid w:val="00A82FD2"/>
    <w:rsid w:val="00AE74DF"/>
    <w:rsid w:val="00B05528"/>
    <w:rsid w:val="00B30C28"/>
    <w:rsid w:val="00B326EB"/>
    <w:rsid w:val="00B44454"/>
    <w:rsid w:val="00B6671F"/>
    <w:rsid w:val="00B77257"/>
    <w:rsid w:val="00BA7EE5"/>
    <w:rsid w:val="00BB2E27"/>
    <w:rsid w:val="00BB4752"/>
    <w:rsid w:val="00BD6A33"/>
    <w:rsid w:val="00BF0222"/>
    <w:rsid w:val="00C0320F"/>
    <w:rsid w:val="00C037BC"/>
    <w:rsid w:val="00C16309"/>
    <w:rsid w:val="00C2651D"/>
    <w:rsid w:val="00C31CAE"/>
    <w:rsid w:val="00C45370"/>
    <w:rsid w:val="00C54671"/>
    <w:rsid w:val="00C823EC"/>
    <w:rsid w:val="00C9505A"/>
    <w:rsid w:val="00CC5DD5"/>
    <w:rsid w:val="00CE16C0"/>
    <w:rsid w:val="00CF507D"/>
    <w:rsid w:val="00D01ADF"/>
    <w:rsid w:val="00D23886"/>
    <w:rsid w:val="00D26EEA"/>
    <w:rsid w:val="00D32593"/>
    <w:rsid w:val="00D365E6"/>
    <w:rsid w:val="00D544DE"/>
    <w:rsid w:val="00DB5355"/>
    <w:rsid w:val="00DB7CE3"/>
    <w:rsid w:val="00DD0192"/>
    <w:rsid w:val="00DE1CBC"/>
    <w:rsid w:val="00E04D5B"/>
    <w:rsid w:val="00E17685"/>
    <w:rsid w:val="00E2327B"/>
    <w:rsid w:val="00E657B0"/>
    <w:rsid w:val="00E726A4"/>
    <w:rsid w:val="00E73815"/>
    <w:rsid w:val="00EB6123"/>
    <w:rsid w:val="00EC6325"/>
    <w:rsid w:val="00EE69D2"/>
    <w:rsid w:val="00F030F2"/>
    <w:rsid w:val="00F06BB3"/>
    <w:rsid w:val="00F12AF2"/>
    <w:rsid w:val="00F23D01"/>
    <w:rsid w:val="00F34819"/>
    <w:rsid w:val="00F528BC"/>
    <w:rsid w:val="00F6510E"/>
    <w:rsid w:val="00F964A5"/>
    <w:rsid w:val="00FB2E06"/>
    <w:rsid w:val="00FC5650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6591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6591"/>
    <w:rPr>
      <w:b/>
      <w:i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1E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6591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6591"/>
    <w:rPr>
      <w:b/>
      <w:i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1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E45A-C1B6-4F56-8F43-B28672B3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5309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2017-07-07T09:22:00Z</cp:lastPrinted>
  <dcterms:created xsi:type="dcterms:W3CDTF">2018-04-25T04:52:00Z</dcterms:created>
  <dcterms:modified xsi:type="dcterms:W3CDTF">2018-04-25T07:02:00Z</dcterms:modified>
</cp:coreProperties>
</file>